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rtl w:val="0"/>
        </w:rPr>
        <w:t xml:space="preserve">ACQF-II QCP - Training plan - H1 2025</w:t>
      </w:r>
    </w:p>
    <w:p w:rsidR="00000000" w:rsidDel="00000000" w:rsidP="00000000" w:rsidRDefault="00000000" w:rsidRPr="00000000" w14:paraId="00000002">
      <w:pPr>
        <w:pStyle w:val="Heading3"/>
        <w:numPr>
          <w:ilvl w:val="0"/>
          <w:numId w:val="1"/>
        </w:numPr>
        <w:ind w:left="720" w:hanging="360"/>
        <w:rPr/>
      </w:pPr>
      <w:r w:rsidDel="00000000" w:rsidR="00000000" w:rsidRPr="00000000">
        <w:rPr>
          <w:rtl w:val="0"/>
        </w:rPr>
        <w:t xml:space="preserve">Introduction</w:t>
      </w:r>
    </w:p>
    <w:p w:rsidR="00000000" w:rsidDel="00000000" w:rsidP="00000000" w:rsidRDefault="00000000" w:rsidRPr="00000000" w14:paraId="00000003">
      <w:pPr>
        <w:rPr/>
      </w:pPr>
      <w:r w:rsidDel="00000000" w:rsidR="00000000" w:rsidRPr="00000000">
        <w:rPr>
          <w:rtl w:val="0"/>
        </w:rPr>
        <w:t xml:space="preserve">This document outlines the concrete training activities planned for the first half of 2025 under </w:t>
      </w:r>
      <w:r w:rsidDel="00000000" w:rsidR="00000000" w:rsidRPr="00000000">
        <w:rPr>
          <w:b w:val="1"/>
          <w:rtl w:val="0"/>
        </w:rPr>
        <w:t xml:space="preserve">Activity 8: Capacity Development and Advocacy</w:t>
      </w:r>
      <w:r w:rsidDel="00000000" w:rsidR="00000000" w:rsidRPr="00000000">
        <w:rPr>
          <w:rtl w:val="0"/>
        </w:rPr>
        <w:t xml:space="preserve">, based on the </w:t>
      </w:r>
      <w:r w:rsidDel="00000000" w:rsidR="00000000" w:rsidRPr="00000000">
        <w:rPr>
          <w:b w:val="1"/>
          <w:rtl w:val="0"/>
        </w:rPr>
        <w:t xml:space="preserve">Order Form 3</w:t>
      </w:r>
      <w:r w:rsidDel="00000000" w:rsidR="00000000" w:rsidRPr="00000000">
        <w:rPr>
          <w:rtl w:val="0"/>
        </w:rPr>
        <w:t xml:space="preserve"> service proposal. The plan is aligned with the </w:t>
      </w:r>
      <w:r w:rsidDel="00000000" w:rsidR="00000000" w:rsidRPr="00000000">
        <w:rPr>
          <w:b w:val="1"/>
          <w:rtl w:val="0"/>
        </w:rPr>
        <w:t xml:space="preserve">Capacity Development Plan v3</w:t>
      </w:r>
      <w:r w:rsidDel="00000000" w:rsidR="00000000" w:rsidRPr="00000000">
        <w:rPr>
          <w:rtl w:val="0"/>
        </w:rPr>
        <w:t xml:space="preserve"> (July 2024 – June 2025) and incorporates lessons learned from 2024 activities, as summarised in the </w:t>
      </w:r>
      <w:r w:rsidDel="00000000" w:rsidR="00000000" w:rsidRPr="00000000">
        <w:rPr>
          <w:b w:val="1"/>
          <w:rtl w:val="0"/>
        </w:rPr>
        <w:t xml:space="preserve">Interim Report</w:t>
      </w:r>
      <w:r w:rsidDel="00000000" w:rsidR="00000000" w:rsidRPr="00000000">
        <w:rPr>
          <w:rtl w:val="0"/>
        </w:rPr>
        <w:t xml:space="preserve">.</w:t>
      </w:r>
    </w:p>
    <w:p w:rsidR="00000000" w:rsidDel="00000000" w:rsidP="00000000" w:rsidRDefault="00000000" w:rsidRPr="00000000" w14:paraId="00000004">
      <w:pPr>
        <w:rPr/>
      </w:pPr>
      <w:r w:rsidDel="00000000" w:rsidR="00000000" w:rsidRPr="00000000">
        <w:rPr>
          <w:rtl w:val="0"/>
        </w:rPr>
        <w:t xml:space="preserve">Order Form 3 – Initially proposed activities overview (July 2024 – June 2025)</w:t>
      </w:r>
    </w:p>
    <w:tbl>
      <w:tblPr>
        <w:tblStyle w:val="Table1"/>
        <w:tblW w:w="9210.0" w:type="dxa"/>
        <w:jc w:val="left"/>
        <w:tblBorders>
          <w:top w:color="47d45a" w:space="0" w:sz="4" w:val="single"/>
          <w:left w:color="47d45a" w:space="0" w:sz="4" w:val="single"/>
          <w:bottom w:color="47d45a" w:space="0" w:sz="4" w:val="single"/>
          <w:right w:color="47d45a" w:space="0" w:sz="4" w:val="single"/>
          <w:insideH w:color="47d45a" w:space="0" w:sz="4" w:val="single"/>
          <w:insideV w:color="47d45a" w:space="0" w:sz="4" w:val="single"/>
        </w:tblBorders>
        <w:tblLayout w:type="fixed"/>
        <w:tblLook w:val="04A0"/>
      </w:tblPr>
      <w:tblGrid>
        <w:gridCol w:w="4110"/>
        <w:gridCol w:w="1530"/>
        <w:gridCol w:w="3570"/>
        <w:tblGridChange w:id="0">
          <w:tblGrid>
            <w:gridCol w:w="4110"/>
            <w:gridCol w:w="1530"/>
            <w:gridCol w:w="3570"/>
          </w:tblGrid>
        </w:tblGridChange>
      </w:tblGrid>
      <w:tr>
        <w:trPr>
          <w:cantSplit w:val="0"/>
          <w:tblHeader w:val="0"/>
        </w:trPr>
        <w:tc>
          <w:tcPr/>
          <w:p w:rsidR="00000000" w:rsidDel="00000000" w:rsidP="00000000" w:rsidRDefault="00000000" w:rsidRPr="00000000" w14:paraId="00000005">
            <w:pPr>
              <w:spacing w:after="160" w:line="278.00000000000006" w:lineRule="auto"/>
              <w:rPr/>
            </w:pPr>
            <w:r w:rsidDel="00000000" w:rsidR="00000000" w:rsidRPr="00000000">
              <w:rPr>
                <w:rtl w:val="0"/>
              </w:rPr>
              <w:t xml:space="preserve">Activity</w:t>
            </w:r>
          </w:p>
        </w:tc>
        <w:tc>
          <w:tcPr/>
          <w:p w:rsidR="00000000" w:rsidDel="00000000" w:rsidP="00000000" w:rsidRDefault="00000000" w:rsidRPr="00000000" w14:paraId="00000006">
            <w:pPr>
              <w:spacing w:after="160" w:line="278.00000000000006" w:lineRule="auto"/>
              <w:rPr/>
            </w:pPr>
            <w:r w:rsidDel="00000000" w:rsidR="00000000" w:rsidRPr="00000000">
              <w:rPr>
                <w:rtl w:val="0"/>
              </w:rPr>
              <w:t xml:space="preserve">Format</w:t>
            </w:r>
          </w:p>
        </w:tc>
        <w:tc>
          <w:tcPr/>
          <w:p w:rsidR="00000000" w:rsidDel="00000000" w:rsidP="00000000" w:rsidRDefault="00000000" w:rsidRPr="00000000" w14:paraId="00000007">
            <w:pPr>
              <w:rPr/>
            </w:pPr>
            <w:r w:rsidDel="00000000" w:rsidR="00000000" w:rsidRPr="00000000">
              <w:rPr>
                <w:rtl w:val="0"/>
              </w:rPr>
              <w:t xml:space="preserve">Completion</w:t>
            </w:r>
          </w:p>
        </w:tc>
      </w:tr>
      <w:tr>
        <w:trPr>
          <w:cantSplit w:val="0"/>
          <w:tblHeader w:val="0"/>
        </w:trPr>
        <w:tc>
          <w:tcPr/>
          <w:p w:rsidR="00000000" w:rsidDel="00000000" w:rsidP="00000000" w:rsidRDefault="00000000" w:rsidRPr="00000000" w14:paraId="00000008">
            <w:pPr>
              <w:spacing w:after="160" w:line="278.00000000000006" w:lineRule="auto"/>
              <w:rPr/>
            </w:pPr>
            <w:r w:rsidDel="00000000" w:rsidR="00000000" w:rsidRPr="00000000">
              <w:rPr>
                <w:rtl w:val="0"/>
              </w:rPr>
              <w:t xml:space="preserve">Comprehensive Training Manual</w:t>
            </w:r>
          </w:p>
        </w:tc>
        <w:tc>
          <w:tcPr/>
          <w:p w:rsidR="00000000" w:rsidDel="00000000" w:rsidP="00000000" w:rsidRDefault="00000000" w:rsidRPr="00000000" w14:paraId="00000009">
            <w:pPr>
              <w:spacing w:after="160" w:line="278.00000000000006" w:lineRule="auto"/>
              <w:rPr/>
            </w:pPr>
            <w:r w:rsidDel="00000000" w:rsidR="00000000" w:rsidRPr="00000000">
              <w:rPr>
                <w:rtl w:val="0"/>
              </w:rPr>
              <w:t xml:space="preserve">PDF Resource</w:t>
            </w:r>
          </w:p>
        </w:tc>
        <w:tc>
          <w:tcPr/>
          <w:p w:rsidR="00000000" w:rsidDel="00000000" w:rsidP="00000000" w:rsidRDefault="00000000" w:rsidRPr="00000000" w14:paraId="0000000A">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0B">
            <w:pPr>
              <w:spacing w:after="160" w:line="278.00000000000006" w:lineRule="auto"/>
              <w:rPr/>
            </w:pPr>
            <w:r w:rsidDel="00000000" w:rsidR="00000000" w:rsidRPr="00000000">
              <w:rPr>
                <w:rtl w:val="0"/>
              </w:rPr>
              <w:t xml:space="preserve">Webinar Series (5 sessions)</w:t>
            </w:r>
          </w:p>
        </w:tc>
        <w:tc>
          <w:tcPr/>
          <w:p w:rsidR="00000000" w:rsidDel="00000000" w:rsidP="00000000" w:rsidRDefault="00000000" w:rsidRPr="00000000" w14:paraId="0000000C">
            <w:pPr>
              <w:spacing w:after="160" w:line="278.00000000000006" w:lineRule="auto"/>
              <w:rPr/>
            </w:pPr>
            <w:r w:rsidDel="00000000" w:rsidR="00000000" w:rsidRPr="00000000">
              <w:rPr>
                <w:rtl w:val="0"/>
              </w:rPr>
              <w:t xml:space="preserve">Online</w:t>
            </w:r>
          </w:p>
        </w:tc>
        <w:tc>
          <w:tcPr/>
          <w:p w:rsidR="00000000" w:rsidDel="00000000" w:rsidP="00000000" w:rsidRDefault="00000000" w:rsidRPr="00000000" w14:paraId="0000000D">
            <w:pPr>
              <w:rPr>
                <w:b w:val="1"/>
              </w:rPr>
            </w:pPr>
            <w:r w:rsidDel="00000000" w:rsidR="00000000" w:rsidRPr="00000000">
              <w:rPr>
                <w:b w:val="1"/>
                <w:rtl w:val="0"/>
              </w:rPr>
              <w:t xml:space="preserve">Completed</w:t>
            </w:r>
          </w:p>
        </w:tc>
      </w:tr>
      <w:tr>
        <w:trPr>
          <w:cantSplit w:val="0"/>
          <w:tblHeader w:val="0"/>
        </w:trPr>
        <w:tc>
          <w:tcPr/>
          <w:p w:rsidR="00000000" w:rsidDel="00000000" w:rsidP="00000000" w:rsidRDefault="00000000" w:rsidRPr="00000000" w14:paraId="0000000E">
            <w:pPr>
              <w:spacing w:after="160" w:line="278.00000000000006" w:lineRule="auto"/>
              <w:rPr/>
            </w:pPr>
            <w:r w:rsidDel="00000000" w:rsidR="00000000" w:rsidRPr="00000000">
              <w:rPr>
                <w:rtl w:val="0"/>
              </w:rPr>
              <w:t xml:space="preserve">Training Workshop &amp; Materials (In-Person Event)</w:t>
            </w:r>
          </w:p>
        </w:tc>
        <w:tc>
          <w:tcPr/>
          <w:p w:rsidR="00000000" w:rsidDel="00000000" w:rsidP="00000000" w:rsidRDefault="00000000" w:rsidRPr="00000000" w14:paraId="0000000F">
            <w:pPr>
              <w:spacing w:after="160" w:line="278.00000000000006" w:lineRule="auto"/>
              <w:rPr/>
            </w:pPr>
            <w:r w:rsidDel="00000000" w:rsidR="00000000" w:rsidRPr="00000000">
              <w:rPr>
                <w:rtl w:val="0"/>
              </w:rPr>
              <w:t xml:space="preserve">On-Site</w:t>
            </w:r>
          </w:p>
        </w:tc>
        <w:tc>
          <w:tcPr/>
          <w:p w:rsidR="00000000" w:rsidDel="00000000" w:rsidP="00000000" w:rsidRDefault="00000000" w:rsidRPr="00000000" w14:paraId="00000010">
            <w:pPr>
              <w:rPr/>
            </w:pPr>
            <w:r w:rsidDel="00000000" w:rsidR="00000000" w:rsidRPr="00000000">
              <w:rPr>
                <w:rtl w:val="0"/>
              </w:rPr>
              <w:t xml:space="preserve">Basis of 6 Training Units and Webinar materials developed in 2024</w:t>
            </w:r>
          </w:p>
        </w:tc>
      </w:tr>
      <w:tr>
        <w:trPr>
          <w:cantSplit w:val="0"/>
          <w:tblHeader w:val="0"/>
        </w:trPr>
        <w:tc>
          <w:tcPr/>
          <w:p w:rsidR="00000000" w:rsidDel="00000000" w:rsidP="00000000" w:rsidRDefault="00000000" w:rsidRPr="00000000" w14:paraId="00000011">
            <w:pPr>
              <w:spacing w:after="160" w:line="278.00000000000006" w:lineRule="auto"/>
              <w:rPr/>
            </w:pPr>
            <w:r w:rsidDel="00000000" w:rsidR="00000000" w:rsidRPr="00000000">
              <w:rPr>
                <w:rtl w:val="0"/>
              </w:rPr>
              <w:t xml:space="preserve">eLearning Modules &amp; Video Support</w:t>
            </w:r>
          </w:p>
        </w:tc>
        <w:tc>
          <w:tcPr/>
          <w:p w:rsidR="00000000" w:rsidDel="00000000" w:rsidP="00000000" w:rsidRDefault="00000000" w:rsidRPr="00000000" w14:paraId="00000012">
            <w:pPr>
              <w:spacing w:after="160" w:line="278.00000000000006" w:lineRule="auto"/>
              <w:rPr/>
            </w:pPr>
            <w:r w:rsidDel="00000000" w:rsidR="00000000" w:rsidRPr="00000000">
              <w:rPr>
                <w:rtl w:val="0"/>
              </w:rPr>
              <w:t xml:space="preserve">Digital</w:t>
            </w:r>
          </w:p>
        </w:tc>
        <w:tc>
          <w:tcPr/>
          <w:p w:rsidR="00000000" w:rsidDel="00000000" w:rsidP="00000000" w:rsidRDefault="00000000" w:rsidRPr="00000000" w14:paraId="00000013">
            <w:pPr>
              <w:rPr>
                <w:b w:val="1"/>
              </w:rPr>
            </w:pPr>
            <w:r w:rsidDel="00000000" w:rsidR="00000000" w:rsidRPr="00000000">
              <w:rPr>
                <w:rtl w:val="0"/>
              </w:rPr>
              <w:t xml:space="preserve">Basis of 6 Training Units and Webinar materials developed in 2024</w:t>
            </w:r>
            <w:r w:rsidDel="00000000" w:rsidR="00000000" w:rsidRPr="00000000">
              <w:rPr>
                <w:rtl w:val="0"/>
              </w:rPr>
            </w:r>
          </w:p>
        </w:tc>
      </w:tr>
      <w:tr>
        <w:trPr>
          <w:cantSplit w:val="0"/>
          <w:tblHeader w:val="0"/>
        </w:trPr>
        <w:tc>
          <w:tcPr/>
          <w:p w:rsidR="00000000" w:rsidDel="00000000" w:rsidP="00000000" w:rsidRDefault="00000000" w:rsidRPr="00000000" w14:paraId="00000014">
            <w:pPr>
              <w:spacing w:after="160" w:line="278.00000000000006" w:lineRule="auto"/>
              <w:rPr/>
            </w:pPr>
            <w:r w:rsidDel="00000000" w:rsidR="00000000" w:rsidRPr="00000000">
              <w:rPr>
                <w:rtl w:val="0"/>
              </w:rPr>
              <w:t xml:space="preserve">Learner Feedback &amp; Analysis Report</w:t>
            </w:r>
          </w:p>
        </w:tc>
        <w:tc>
          <w:tcPr/>
          <w:p w:rsidR="00000000" w:rsidDel="00000000" w:rsidP="00000000" w:rsidRDefault="00000000" w:rsidRPr="00000000" w14:paraId="00000015">
            <w:pPr>
              <w:spacing w:after="160" w:line="278.00000000000006" w:lineRule="auto"/>
              <w:rPr/>
            </w:pPr>
            <w:r w:rsidDel="00000000" w:rsidR="00000000" w:rsidRPr="00000000">
              <w:rPr>
                <w:rtl w:val="0"/>
              </w:rPr>
              <w:t xml:space="preserve">Report</w:t>
            </w:r>
          </w:p>
        </w:tc>
        <w:tc>
          <w:tcPr/>
          <w:p w:rsidR="00000000" w:rsidDel="00000000" w:rsidP="00000000" w:rsidRDefault="00000000" w:rsidRPr="00000000" w14:paraId="00000016">
            <w:pPr>
              <w:rPr>
                <w:b w:val="1"/>
              </w:rPr>
            </w:pPr>
            <w:r w:rsidDel="00000000" w:rsidR="00000000" w:rsidRPr="00000000">
              <w:rPr>
                <w:b w:val="1"/>
                <w:rtl w:val="0"/>
              </w:rPr>
              <w:t xml:space="preserve">Initial </w:t>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2"/>
        <w:numPr>
          <w:ilvl w:val="0"/>
          <w:numId w:val="1"/>
        </w:numPr>
        <w:ind w:left="720" w:hanging="360"/>
        <w:rPr/>
      </w:pPr>
      <w:r w:rsidDel="00000000" w:rsidR="00000000" w:rsidRPr="00000000">
        <w:rPr>
          <w:rtl w:val="0"/>
        </w:rPr>
        <w:t xml:space="preserve">Adjustments to Maximise QCP Adoption and Capacity-Development (H1 2025)</w:t>
      </w:r>
    </w:p>
    <w:p w:rsidR="00000000" w:rsidDel="00000000" w:rsidP="00000000" w:rsidRDefault="00000000" w:rsidRPr="00000000" w14:paraId="00000019">
      <w:pPr>
        <w:rPr/>
      </w:pPr>
      <w:r w:rsidDel="00000000" w:rsidR="00000000" w:rsidRPr="00000000">
        <w:rPr>
          <w:rtl w:val="0"/>
        </w:rPr>
        <w:t xml:space="preserve">The proposed approach for 2025 integrates </w:t>
      </w:r>
      <w:r w:rsidDel="00000000" w:rsidR="00000000" w:rsidRPr="00000000">
        <w:rPr>
          <w:b w:val="1"/>
          <w:rtl w:val="0"/>
        </w:rPr>
        <w:t xml:space="preserve">webinars</w:t>
      </w:r>
      <w:r w:rsidDel="00000000" w:rsidR="00000000" w:rsidRPr="00000000">
        <w:rPr>
          <w:rtl w:val="0"/>
        </w:rPr>
        <w:t xml:space="preserve">, </w:t>
      </w:r>
      <w:r w:rsidDel="00000000" w:rsidR="00000000" w:rsidRPr="00000000">
        <w:rPr>
          <w:b w:val="1"/>
          <w:rtl w:val="0"/>
        </w:rPr>
        <w:t xml:space="preserve">an eLearning module</w:t>
      </w:r>
      <w:r w:rsidDel="00000000" w:rsidR="00000000" w:rsidRPr="00000000">
        <w:rPr>
          <w:rtl w:val="0"/>
        </w:rPr>
        <w:t xml:space="preserve">, </w:t>
      </w:r>
      <w:r w:rsidDel="00000000" w:rsidR="00000000" w:rsidRPr="00000000">
        <w:rPr>
          <w:b w:val="1"/>
          <w:rtl w:val="0"/>
        </w:rPr>
        <w:t xml:space="preserve">Q&amp;A sessions</w:t>
      </w:r>
      <w:r w:rsidDel="00000000" w:rsidR="00000000" w:rsidRPr="00000000">
        <w:rPr>
          <w:rtl w:val="0"/>
        </w:rPr>
        <w:t xml:space="preserve">, and an </w:t>
      </w:r>
      <w:r w:rsidDel="00000000" w:rsidR="00000000" w:rsidRPr="00000000">
        <w:rPr>
          <w:b w:val="1"/>
          <w:rtl w:val="0"/>
        </w:rPr>
        <w:t xml:space="preserve">in-person training workshop</w:t>
      </w:r>
      <w:r w:rsidDel="00000000" w:rsidR="00000000" w:rsidRPr="00000000">
        <w:rPr>
          <w:rtl w:val="0"/>
        </w:rPr>
        <w:t xml:space="preserve">, ensuring </w:t>
      </w:r>
      <w:r w:rsidDel="00000000" w:rsidR="00000000" w:rsidRPr="00000000">
        <w:rPr>
          <w:b w:val="1"/>
          <w:rtl w:val="0"/>
        </w:rPr>
        <w:t xml:space="preserve">continuous support</w:t>
      </w:r>
      <w:r w:rsidDel="00000000" w:rsidR="00000000" w:rsidRPr="00000000">
        <w:rPr>
          <w:rtl w:val="0"/>
        </w:rPr>
        <w:t xml:space="preserve"> for the ACQF-II focus countries that goes hand in hand with the roll-out of the ACQF Qualifications and Credentials Platform (QCP). For this purpose, we suggest adjustments to the initial plan as described below.</w:t>
      </w:r>
    </w:p>
    <w:p w:rsidR="00000000" w:rsidDel="00000000" w:rsidP="00000000" w:rsidRDefault="00000000" w:rsidRPr="00000000" w14:paraId="0000001A">
      <w:pPr>
        <w:pStyle w:val="Heading3"/>
        <w:numPr>
          <w:ilvl w:val="1"/>
          <w:numId w:val="1"/>
        </w:numPr>
        <w:ind w:left="1080" w:hanging="720"/>
        <w:rPr/>
      </w:pPr>
      <w:r w:rsidDel="00000000" w:rsidR="00000000" w:rsidRPr="00000000">
        <w:rPr>
          <w:rtl w:val="0"/>
        </w:rPr>
        <w:t xml:space="preserve">Strengthening the Link Between Training &amp; QCP Rollout </w:t>
      </w:r>
    </w:p>
    <w:p w:rsidR="00000000" w:rsidDel="00000000" w:rsidP="00000000" w:rsidRDefault="00000000" w:rsidRPr="00000000" w14:paraId="0000001B">
      <w:pPr>
        <w:rPr/>
      </w:pPr>
      <w:r w:rsidDel="00000000" w:rsidR="00000000" w:rsidRPr="00000000">
        <w:rPr>
          <w:rtl w:val="0"/>
        </w:rPr>
        <w:t xml:space="preserve">Due to the launch of the QCP, particularly the Curators Portal, 2025 will allow an even greater connection between Activity 8: Capacity Development and Advocacy and other activities outlined in the Order Form. This concerns mainly: </w:t>
      </w:r>
    </w:p>
    <w:p w:rsidR="00000000" w:rsidDel="00000000" w:rsidP="00000000" w:rsidRDefault="00000000" w:rsidRPr="00000000" w14:paraId="0000001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Activity 6 – Software Development, particularly the User Documentation. </w:t>
      </w:r>
    </w:p>
    <w:p w:rsidR="00000000" w:rsidDel="00000000" w:rsidP="00000000" w:rsidRDefault="00000000" w:rsidRPr="00000000" w14:paraId="0000001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Activity 7 – Data Collection Coordination, ensuring direct support for data input into the QCP. </w:t>
      </w:r>
    </w:p>
    <w:p w:rsidR="00000000" w:rsidDel="00000000" w:rsidP="00000000" w:rsidRDefault="00000000" w:rsidRPr="00000000" w14:paraId="0000001E">
      <w:pPr>
        <w:rPr/>
      </w:pPr>
      <w:r w:rsidDel="00000000" w:rsidR="00000000" w:rsidRPr="00000000">
        <w:rPr>
          <w:rtl w:val="0"/>
        </w:rPr>
        <w:t xml:space="preserve">Linking the capacity development activity with user documentation and data collection ensures that all training activities and provided guidance are closely aligned with practical QCP implementation. As the QCP is being launched, now is the time to maximise its adoption and train users directly with the use of the platform environment in mind. The focus will be on hands-on engagement, equipping participants with the skills to successfully use the platform for qualification data management.</w:t>
      </w:r>
    </w:p>
    <w:p w:rsidR="00000000" w:rsidDel="00000000" w:rsidP="00000000" w:rsidRDefault="00000000" w:rsidRPr="00000000" w14:paraId="0000001F">
      <w:pPr>
        <w:pStyle w:val="Heading3"/>
        <w:numPr>
          <w:ilvl w:val="1"/>
          <w:numId w:val="1"/>
        </w:numPr>
        <w:ind w:left="1080" w:hanging="720"/>
        <w:rPr/>
      </w:pPr>
      <w:r w:rsidDel="00000000" w:rsidR="00000000" w:rsidRPr="00000000">
        <w:rPr>
          <w:rtl w:val="0"/>
        </w:rPr>
        <w:t xml:space="preserve">Alternative to a Sub-activity: Comprehensive Training Manual</w:t>
      </w:r>
    </w:p>
    <w:p w:rsidR="00000000" w:rsidDel="00000000" w:rsidP="00000000" w:rsidRDefault="00000000" w:rsidRPr="00000000" w14:paraId="00000020">
      <w:pPr>
        <w:rPr/>
      </w:pPr>
      <w:r w:rsidDel="00000000" w:rsidR="00000000" w:rsidRPr="00000000">
        <w:rPr>
          <w:rtl w:val="0"/>
        </w:rPr>
        <w:t xml:space="preserve">Initially, a sub-activity proposed the creation of a Comprehensive Training Manual as a key resource for 2025. However, due to the existence of the user documentation as part of Activity 6 and the need for more focused support, the consortium recommends replacing this sub-activity with direct engagement through </w:t>
      </w:r>
      <w:r w:rsidDel="00000000" w:rsidR="00000000" w:rsidRPr="00000000">
        <w:rPr>
          <w:b w:val="1"/>
          <w:rtl w:val="0"/>
        </w:rPr>
        <w:t xml:space="preserve">6x Stakeholder Implementation Labs</w:t>
      </w:r>
      <w:r w:rsidDel="00000000" w:rsidR="00000000" w:rsidRPr="00000000">
        <w:rPr>
          <w:rtl w:val="0"/>
        </w:rPr>
        <w:t xml:space="preserve">, as well as a set of practical learning materials integrated into the eLearning module instead. </w:t>
      </w:r>
    </w:p>
    <w:p w:rsidR="00000000" w:rsidDel="00000000" w:rsidP="00000000" w:rsidRDefault="00000000" w:rsidRPr="00000000" w14:paraId="00000021">
      <w:pPr>
        <w:rPr>
          <w:b w:val="1"/>
        </w:rPr>
      </w:pPr>
      <w:r w:rsidDel="00000000" w:rsidR="00000000" w:rsidRPr="00000000">
        <w:rPr>
          <w:b w:val="1"/>
          <w:rtl w:val="0"/>
        </w:rPr>
        <w:t xml:space="preserve">Why Shift Away from a PDF Training Manual?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More flexibility: </w:t>
      </w:r>
      <w:r w:rsidDel="00000000" w:rsidR="00000000" w:rsidRPr="00000000">
        <w:rPr>
          <w:rtl w:val="0"/>
        </w:rPr>
        <w:t xml:space="preserve">Stakeholder Implementation Lab</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 will allow real-time responses to specific country needs.</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More interactivity: Instead of a static document, stakeholders will engage directly with experts.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More practical application: Training will focus on real challenges encountered during QCP adoption. </w:t>
      </w:r>
    </w:p>
    <w:p w:rsidR="00000000" w:rsidDel="00000000" w:rsidP="00000000" w:rsidRDefault="00000000" w:rsidRPr="00000000" w14:paraId="00000025">
      <w:pPr>
        <w:rPr>
          <w:b w:val="1"/>
        </w:rPr>
      </w:pPr>
      <w:r w:rsidDel="00000000" w:rsidR="00000000" w:rsidRPr="00000000">
        <w:rPr>
          <w:b w:val="1"/>
          <w:rtl w:val="0"/>
        </w:rPr>
        <w:t xml:space="preserve">What Will Replace the Training Manual? </w:t>
      </w:r>
    </w:p>
    <w:p w:rsidR="00000000" w:rsidDel="00000000" w:rsidP="00000000" w:rsidRDefault="00000000" w:rsidRPr="00000000" w14:paraId="00000026">
      <w:pPr>
        <w:rPr/>
      </w:pPr>
      <w:r w:rsidDel="00000000" w:rsidR="00000000" w:rsidRPr="00000000">
        <w:rPr>
          <w:rtl w:val="0"/>
        </w:rPr>
        <w:t xml:space="preserve">Instead of a single PDF document, the eLearning module will be extended to include:</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Worksheets guiding users through key QCP functionalities</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Concrete instructions on how to use the platform, ensuring users have clear, structured reference materials. </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Short tutorial videos demonstrating specific data input and platform navigation tasks. </w:t>
      </w:r>
    </w:p>
    <w:p w:rsidR="00000000" w:rsidDel="00000000" w:rsidP="00000000" w:rsidRDefault="00000000" w:rsidRPr="00000000" w14:paraId="0000002A">
      <w:pPr>
        <w:rPr/>
      </w:pPr>
      <w:r w:rsidDel="00000000" w:rsidR="00000000" w:rsidRPr="00000000">
        <w:rPr>
          <w:rtl w:val="0"/>
        </w:rPr>
        <w:t xml:space="preserve">These resources will provide a much more hands-on, flexible and dynamic training experience, ensuring that participants can apply what they learn directly to their work with the QCP.</w:t>
      </w:r>
    </w:p>
    <w:p w:rsidR="00000000" w:rsidDel="00000000" w:rsidP="00000000" w:rsidRDefault="00000000" w:rsidRPr="00000000" w14:paraId="0000002B">
      <w:pPr>
        <w:rPr/>
      </w:pPr>
      <w:r w:rsidDel="00000000" w:rsidR="00000000" w:rsidRPr="00000000">
        <w:br w:type="page"/>
      </w:r>
      <w:r w:rsidDel="00000000" w:rsidR="00000000" w:rsidRPr="00000000">
        <w:rPr>
          <w:rtl w:val="0"/>
        </w:rPr>
      </w:r>
    </w:p>
    <w:p w:rsidR="00000000" w:rsidDel="00000000" w:rsidP="00000000" w:rsidRDefault="00000000" w:rsidRPr="00000000" w14:paraId="0000002C">
      <w:pPr>
        <w:pStyle w:val="Heading2"/>
        <w:numPr>
          <w:ilvl w:val="0"/>
          <w:numId w:val="1"/>
        </w:numPr>
        <w:ind w:left="720" w:hanging="360"/>
        <w:rPr/>
      </w:pPr>
      <w:r w:rsidDel="00000000" w:rsidR="00000000" w:rsidRPr="00000000">
        <w:rPr>
          <w:rtl w:val="0"/>
        </w:rPr>
        <w:t xml:space="preserve">Proposed Activity Overview</w:t>
      </w:r>
    </w:p>
    <w:p w:rsidR="00000000" w:rsidDel="00000000" w:rsidP="00000000" w:rsidRDefault="00000000" w:rsidRPr="00000000" w14:paraId="0000002D">
      <w:pPr>
        <w:rPr/>
      </w:pPr>
      <w:r w:rsidDel="00000000" w:rsidR="00000000" w:rsidRPr="00000000">
        <w:rPr>
          <w:rtl w:val="0"/>
        </w:rPr>
        <w:t xml:space="preserve">The proposed training activities in 2025 will focus on:</w:t>
      </w:r>
    </w:p>
    <w:p w:rsidR="00000000" w:rsidDel="00000000" w:rsidP="00000000" w:rsidRDefault="00000000" w:rsidRPr="00000000" w14:paraId="0000002E">
      <w:pPr>
        <w:numPr>
          <w:ilvl w:val="0"/>
          <w:numId w:val="18"/>
        </w:numPr>
        <w:spacing w:after="0" w:lineRule="auto"/>
        <w:ind w:left="720" w:hanging="360"/>
        <w:rPr>
          <w:rFonts w:ascii="Aptos" w:cs="Aptos" w:eastAsia="Aptos" w:hAnsi="Aptos"/>
        </w:rPr>
      </w:pPr>
      <w:r w:rsidDel="00000000" w:rsidR="00000000" w:rsidRPr="00000000">
        <w:rPr>
          <w:rtl w:val="0"/>
        </w:rPr>
        <w:t xml:space="preserve">Strengthening practical knowledge on the African Qualifications and Credentials Platform (QCP).</w:t>
      </w:r>
    </w:p>
    <w:p w:rsidR="00000000" w:rsidDel="00000000" w:rsidP="00000000" w:rsidRDefault="00000000" w:rsidRPr="00000000" w14:paraId="0000002F">
      <w:pPr>
        <w:numPr>
          <w:ilvl w:val="0"/>
          <w:numId w:val="18"/>
        </w:numPr>
        <w:spacing w:after="0" w:lineRule="auto"/>
        <w:ind w:left="720" w:hanging="360"/>
        <w:rPr>
          <w:rFonts w:ascii="Aptos" w:cs="Aptos" w:eastAsia="Aptos" w:hAnsi="Aptos"/>
        </w:rPr>
      </w:pPr>
      <w:r w:rsidDel="00000000" w:rsidR="00000000" w:rsidRPr="00000000">
        <w:rPr>
          <w:rtl w:val="0"/>
        </w:rPr>
        <w:t xml:space="preserve">Supporting countries with data preparation and input into the QCP.</w:t>
      </w:r>
    </w:p>
    <w:p w:rsidR="00000000" w:rsidDel="00000000" w:rsidP="00000000" w:rsidRDefault="00000000" w:rsidRPr="00000000" w14:paraId="00000030">
      <w:pPr>
        <w:numPr>
          <w:ilvl w:val="0"/>
          <w:numId w:val="18"/>
        </w:numPr>
        <w:ind w:left="720" w:hanging="360"/>
        <w:rPr>
          <w:rFonts w:ascii="Aptos" w:cs="Aptos" w:eastAsia="Aptos" w:hAnsi="Aptos"/>
        </w:rPr>
      </w:pPr>
      <w:r w:rsidDel="00000000" w:rsidR="00000000" w:rsidRPr="00000000">
        <w:rPr>
          <w:rtl w:val="0"/>
        </w:rPr>
        <w:t xml:space="preserve">Enhancing stakeholder engagement through interactive, applied training formats.</w:t>
      </w:r>
      <w:r w:rsidDel="00000000" w:rsidR="00000000" w:rsidRPr="00000000">
        <w:rPr>
          <w:rtl w:val="0"/>
        </w:rPr>
      </w:r>
    </w:p>
    <w:p w:rsidR="00000000" w:rsidDel="00000000" w:rsidP="00000000" w:rsidRDefault="00000000" w:rsidRPr="00000000" w14:paraId="00000031">
      <w:pPr>
        <w:ind w:left="0" w:firstLine="0"/>
        <w:rPr/>
      </w:pPr>
      <w:r w:rsidDel="00000000" w:rsidR="00000000" w:rsidRPr="00000000">
        <w:rPr>
          <w:rtl w:val="0"/>
        </w:rPr>
        <w:t xml:space="preserve">The expected Learning Outcomes of participants in the capacity development activities remain as defined in the </w:t>
      </w:r>
      <w:r w:rsidDel="00000000" w:rsidR="00000000" w:rsidRPr="00000000">
        <w:rPr>
          <w:b w:val="1"/>
          <w:rtl w:val="0"/>
        </w:rPr>
        <w:t xml:space="preserve">Capacity Development Plan v3.</w:t>
      </w: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Proposed </w:t>
      </w:r>
      <w:r w:rsidDel="00000000" w:rsidR="00000000" w:rsidRPr="00000000">
        <w:rPr>
          <w:b w:val="1"/>
          <w:rtl w:val="0"/>
        </w:rPr>
        <w:t xml:space="preserve">Training Activities Overview (January - June 2025)</w:t>
      </w:r>
    </w:p>
    <w:tbl>
      <w:tblPr>
        <w:tblStyle w:val="Table2"/>
        <w:tblW w:w="9062.0" w:type="dxa"/>
        <w:jc w:val="left"/>
        <w:tblBorders>
          <w:top w:color="8ed873" w:space="0" w:sz="4" w:val="single"/>
          <w:left w:color="8ed873" w:space="0" w:sz="4" w:val="single"/>
          <w:bottom w:color="8ed873" w:space="0" w:sz="4" w:val="single"/>
          <w:right w:color="8ed873" w:space="0" w:sz="4" w:val="single"/>
          <w:insideH w:color="8ed873" w:space="0" w:sz="4" w:val="single"/>
          <w:insideV w:color="8ed873" w:space="0" w:sz="4" w:val="single"/>
        </w:tblBorders>
        <w:tblLayout w:type="fixed"/>
        <w:tblLook w:val="04A0"/>
      </w:tblPr>
      <w:tblGrid>
        <w:gridCol w:w="1705"/>
        <w:gridCol w:w="1163"/>
        <w:gridCol w:w="1539"/>
        <w:gridCol w:w="4655"/>
        <w:tblGridChange w:id="0">
          <w:tblGrid>
            <w:gridCol w:w="1705"/>
            <w:gridCol w:w="1163"/>
            <w:gridCol w:w="1539"/>
            <w:gridCol w:w="4655"/>
          </w:tblGrid>
        </w:tblGridChange>
      </w:tblGrid>
      <w:tr>
        <w:trPr>
          <w:cantSplit w:val="0"/>
          <w:tblHeader w:val="0"/>
        </w:trPr>
        <w:tc>
          <w:tcPr/>
          <w:p w:rsidR="00000000" w:rsidDel="00000000" w:rsidP="00000000" w:rsidRDefault="00000000" w:rsidRPr="00000000" w14:paraId="00000033">
            <w:pPr>
              <w:spacing w:after="160" w:line="278.00000000000006" w:lineRule="auto"/>
              <w:rPr/>
            </w:pPr>
            <w:r w:rsidDel="00000000" w:rsidR="00000000" w:rsidRPr="00000000">
              <w:rPr>
                <w:rtl w:val="0"/>
              </w:rPr>
              <w:t xml:space="preserve">Activity</w:t>
            </w:r>
          </w:p>
        </w:tc>
        <w:tc>
          <w:tcPr/>
          <w:p w:rsidR="00000000" w:rsidDel="00000000" w:rsidP="00000000" w:rsidRDefault="00000000" w:rsidRPr="00000000" w14:paraId="00000034">
            <w:pPr>
              <w:spacing w:after="160" w:line="278.00000000000006" w:lineRule="auto"/>
              <w:rPr/>
            </w:pPr>
            <w:r w:rsidDel="00000000" w:rsidR="00000000" w:rsidRPr="00000000">
              <w:rPr>
                <w:rtl w:val="0"/>
              </w:rPr>
              <w:t xml:space="preserve">Format</w:t>
            </w:r>
          </w:p>
        </w:tc>
        <w:tc>
          <w:tcPr/>
          <w:p w:rsidR="00000000" w:rsidDel="00000000" w:rsidP="00000000" w:rsidRDefault="00000000" w:rsidRPr="00000000" w14:paraId="00000035">
            <w:pPr>
              <w:spacing w:after="160" w:line="278.00000000000006" w:lineRule="auto"/>
              <w:rPr/>
            </w:pPr>
            <w:r w:rsidDel="00000000" w:rsidR="00000000" w:rsidRPr="00000000">
              <w:rPr>
                <w:rtl w:val="0"/>
              </w:rPr>
              <w:t xml:space="preserve">Date</w:t>
            </w:r>
          </w:p>
        </w:tc>
        <w:tc>
          <w:tcPr/>
          <w:p w:rsidR="00000000" w:rsidDel="00000000" w:rsidP="00000000" w:rsidRDefault="00000000" w:rsidRPr="00000000" w14:paraId="00000036">
            <w:pPr>
              <w:spacing w:after="160" w:line="278.00000000000006" w:lineRule="auto"/>
              <w:rPr/>
            </w:pPr>
            <w:r w:rsidDel="00000000" w:rsidR="00000000" w:rsidRPr="00000000">
              <w:rPr>
                <w:rtl w:val="0"/>
              </w:rPr>
              <w:t xml:space="preserve">Description</w:t>
            </w:r>
          </w:p>
        </w:tc>
      </w:tr>
      <w:tr>
        <w:trPr>
          <w:cantSplit w:val="0"/>
          <w:tblHeader w:val="0"/>
        </w:trPr>
        <w:tc>
          <w:tcPr/>
          <w:p w:rsidR="00000000" w:rsidDel="00000000" w:rsidP="00000000" w:rsidRDefault="00000000" w:rsidRPr="00000000" w14:paraId="00000037">
            <w:pPr>
              <w:spacing w:after="160" w:line="278.00000000000006" w:lineRule="auto"/>
              <w:rPr/>
            </w:pPr>
            <w:r w:rsidDel="00000000" w:rsidR="00000000" w:rsidRPr="00000000">
              <w:rPr>
                <w:rtl w:val="0"/>
              </w:rPr>
              <w:t xml:space="preserve">Training Workshop &amp; Materials </w:t>
            </w:r>
          </w:p>
        </w:tc>
        <w:tc>
          <w:tcPr/>
          <w:p w:rsidR="00000000" w:rsidDel="00000000" w:rsidP="00000000" w:rsidRDefault="00000000" w:rsidRPr="00000000" w14:paraId="00000038">
            <w:pPr>
              <w:spacing w:after="160" w:line="278.00000000000006" w:lineRule="auto"/>
              <w:rPr/>
            </w:pPr>
            <w:r w:rsidDel="00000000" w:rsidR="00000000" w:rsidRPr="00000000">
              <w:rPr>
                <w:rtl w:val="0"/>
              </w:rPr>
              <w:t xml:space="preserve">On-Site or Online</w:t>
            </w:r>
          </w:p>
        </w:tc>
        <w:tc>
          <w:tcPr/>
          <w:p w:rsidR="00000000" w:rsidDel="00000000" w:rsidP="00000000" w:rsidRDefault="00000000" w:rsidRPr="00000000" w14:paraId="00000039">
            <w:pPr>
              <w:spacing w:after="160" w:line="278.00000000000006" w:lineRule="auto"/>
              <w:rPr/>
            </w:pPr>
            <w:r w:rsidDel="00000000" w:rsidR="00000000" w:rsidRPr="00000000">
              <w:rPr>
                <w:rtl w:val="0"/>
              </w:rPr>
              <w:t xml:space="preserve">Between February and June 2025</w:t>
            </w:r>
          </w:p>
        </w:tc>
        <w:tc>
          <w:tcPr/>
          <w:p w:rsidR="00000000" w:rsidDel="00000000" w:rsidP="00000000" w:rsidRDefault="00000000" w:rsidRPr="00000000" w14:paraId="0000003A">
            <w:pPr>
              <w:spacing w:after="160" w:line="278.00000000000006" w:lineRule="auto"/>
              <w:rPr/>
            </w:pPr>
            <w:r w:rsidDel="00000000" w:rsidR="00000000" w:rsidRPr="00000000">
              <w:rPr>
                <w:rtl w:val="0"/>
              </w:rPr>
              <w:t xml:space="preserve">A practical workshop focused on data input and QCP utilisation, either organised on-site in combination with existing ACQF events or as a dedicated online peer-learning activity.</w:t>
            </w:r>
          </w:p>
        </w:tc>
      </w:tr>
      <w:tr>
        <w:trPr>
          <w:cantSplit w:val="0"/>
          <w:tblHeader w:val="0"/>
        </w:trPr>
        <w:tc>
          <w:tcPr/>
          <w:p w:rsidR="00000000" w:rsidDel="00000000" w:rsidP="00000000" w:rsidRDefault="00000000" w:rsidRPr="00000000" w14:paraId="0000003B">
            <w:pPr>
              <w:spacing w:after="160" w:line="278.00000000000006" w:lineRule="auto"/>
              <w:rPr/>
            </w:pPr>
            <w:r w:rsidDel="00000000" w:rsidR="00000000" w:rsidRPr="00000000">
              <w:rPr>
                <w:rtl w:val="0"/>
              </w:rPr>
              <w:t xml:space="preserve">Stakeholder Implementation Labs (National-Level)</w:t>
            </w:r>
          </w:p>
        </w:tc>
        <w:tc>
          <w:tcPr/>
          <w:p w:rsidR="00000000" w:rsidDel="00000000" w:rsidP="00000000" w:rsidRDefault="00000000" w:rsidRPr="00000000" w14:paraId="0000003C">
            <w:pPr>
              <w:spacing w:after="160" w:line="278.00000000000006" w:lineRule="auto"/>
              <w:rPr/>
            </w:pPr>
            <w:r w:rsidDel="00000000" w:rsidR="00000000" w:rsidRPr="00000000">
              <w:rPr>
                <w:rtl w:val="0"/>
              </w:rPr>
              <w:t xml:space="preserve">Online</w:t>
            </w:r>
          </w:p>
        </w:tc>
        <w:tc>
          <w:tcPr/>
          <w:p w:rsidR="00000000" w:rsidDel="00000000" w:rsidP="00000000" w:rsidRDefault="00000000" w:rsidRPr="00000000" w14:paraId="0000003D">
            <w:pPr>
              <w:spacing w:after="160" w:line="278.00000000000006" w:lineRule="auto"/>
              <w:rPr/>
            </w:pPr>
            <w:r w:rsidDel="00000000" w:rsidR="00000000" w:rsidRPr="00000000">
              <w:rPr>
                <w:rtl w:val="0"/>
              </w:rPr>
              <w:t xml:space="preserve">February - May 2025</w:t>
            </w:r>
          </w:p>
        </w:tc>
        <w:tc>
          <w:tcPr/>
          <w:p w:rsidR="00000000" w:rsidDel="00000000" w:rsidP="00000000" w:rsidRDefault="00000000" w:rsidRPr="00000000" w14:paraId="0000003E">
            <w:pPr>
              <w:spacing w:after="160" w:line="278.00000000000006" w:lineRule="auto"/>
              <w:rPr/>
            </w:pPr>
            <w:r w:rsidDel="00000000" w:rsidR="00000000" w:rsidRPr="00000000">
              <w:rPr>
                <w:rtl w:val="0"/>
              </w:rPr>
              <w:t xml:space="preserve">A series of interactive sessions where stakeholders can ask questions and receive real-time guidance on QCP implementation with a particular focus on data mapping and data input.</w:t>
            </w:r>
          </w:p>
        </w:tc>
      </w:tr>
      <w:tr>
        <w:trPr>
          <w:cantSplit w:val="0"/>
          <w:tblHeader w:val="0"/>
        </w:trPr>
        <w:tc>
          <w:tcPr/>
          <w:p w:rsidR="00000000" w:rsidDel="00000000" w:rsidP="00000000" w:rsidRDefault="00000000" w:rsidRPr="00000000" w14:paraId="0000003F">
            <w:pPr>
              <w:spacing w:after="160" w:line="278.00000000000006" w:lineRule="auto"/>
              <w:rPr/>
            </w:pPr>
            <w:r w:rsidDel="00000000" w:rsidR="00000000" w:rsidRPr="00000000">
              <w:rPr>
                <w:rtl w:val="0"/>
              </w:rPr>
              <w:t xml:space="preserve">eLearning Modules &amp; Video Support</w:t>
            </w:r>
          </w:p>
        </w:tc>
        <w:tc>
          <w:tcPr/>
          <w:p w:rsidR="00000000" w:rsidDel="00000000" w:rsidP="00000000" w:rsidRDefault="00000000" w:rsidRPr="00000000" w14:paraId="00000040">
            <w:pPr>
              <w:spacing w:after="160" w:line="278.00000000000006" w:lineRule="auto"/>
              <w:rPr/>
            </w:pPr>
            <w:r w:rsidDel="00000000" w:rsidR="00000000" w:rsidRPr="00000000">
              <w:rPr>
                <w:rtl w:val="0"/>
              </w:rPr>
              <w:t xml:space="preserve">Digital</w:t>
            </w:r>
          </w:p>
        </w:tc>
        <w:tc>
          <w:tcPr/>
          <w:p w:rsidR="00000000" w:rsidDel="00000000" w:rsidP="00000000" w:rsidRDefault="00000000" w:rsidRPr="00000000" w14:paraId="00000041">
            <w:pPr>
              <w:spacing w:after="160" w:line="278.00000000000006" w:lineRule="auto"/>
              <w:rPr/>
            </w:pPr>
            <w:r w:rsidDel="00000000" w:rsidR="00000000" w:rsidRPr="00000000">
              <w:rPr>
                <w:rtl w:val="0"/>
              </w:rPr>
              <w:t xml:space="preserve">30 June 2025</w:t>
            </w:r>
          </w:p>
        </w:tc>
        <w:tc>
          <w:tcPr/>
          <w:p w:rsidR="00000000" w:rsidDel="00000000" w:rsidP="00000000" w:rsidRDefault="00000000" w:rsidRPr="00000000" w14:paraId="00000042">
            <w:pPr>
              <w:spacing w:after="160" w:line="278.00000000000006" w:lineRule="auto"/>
              <w:rPr/>
            </w:pPr>
            <w:r w:rsidDel="00000000" w:rsidR="00000000" w:rsidRPr="00000000">
              <w:rPr>
                <w:rtl w:val="0"/>
              </w:rPr>
              <w:t xml:space="preserve">eLearning Module focused on the implementation of QCP with a series of short instructional videos, worksheets, and interactive manuals on data mapping and QCP functionalities.</w:t>
            </w:r>
          </w:p>
        </w:tc>
      </w:tr>
      <w:tr>
        <w:trPr>
          <w:cantSplit w:val="0"/>
          <w:tblHeader w:val="0"/>
        </w:trPr>
        <w:tc>
          <w:tcPr/>
          <w:p w:rsidR="00000000" w:rsidDel="00000000" w:rsidP="00000000" w:rsidRDefault="00000000" w:rsidRPr="00000000" w14:paraId="00000043">
            <w:pPr>
              <w:spacing w:after="160" w:line="278.00000000000006" w:lineRule="auto"/>
              <w:rPr/>
            </w:pPr>
            <w:r w:rsidDel="00000000" w:rsidR="00000000" w:rsidRPr="00000000">
              <w:rPr>
                <w:rtl w:val="0"/>
              </w:rPr>
              <w:t xml:space="preserve">Learner Feedback &amp; Analysis Report</w:t>
            </w:r>
          </w:p>
        </w:tc>
        <w:tc>
          <w:tcPr/>
          <w:p w:rsidR="00000000" w:rsidDel="00000000" w:rsidP="00000000" w:rsidRDefault="00000000" w:rsidRPr="00000000" w14:paraId="00000044">
            <w:pPr>
              <w:spacing w:after="160" w:line="278.00000000000006" w:lineRule="auto"/>
              <w:rPr/>
            </w:pPr>
            <w:r w:rsidDel="00000000" w:rsidR="00000000" w:rsidRPr="00000000">
              <w:rPr>
                <w:rtl w:val="0"/>
              </w:rPr>
              <w:t xml:space="preserve">Report</w:t>
            </w:r>
          </w:p>
        </w:tc>
        <w:tc>
          <w:tcPr/>
          <w:p w:rsidR="00000000" w:rsidDel="00000000" w:rsidP="00000000" w:rsidRDefault="00000000" w:rsidRPr="00000000" w14:paraId="00000045">
            <w:pPr>
              <w:spacing w:after="160" w:line="278.00000000000006" w:lineRule="auto"/>
              <w:rPr/>
            </w:pPr>
            <w:r w:rsidDel="00000000" w:rsidR="00000000" w:rsidRPr="00000000">
              <w:rPr>
                <w:rtl w:val="0"/>
              </w:rPr>
              <w:t xml:space="preserve">30 June 2025</w:t>
            </w:r>
          </w:p>
        </w:tc>
        <w:tc>
          <w:tcPr/>
          <w:p w:rsidR="00000000" w:rsidDel="00000000" w:rsidP="00000000" w:rsidRDefault="00000000" w:rsidRPr="00000000" w14:paraId="00000046">
            <w:pPr>
              <w:spacing w:after="160" w:line="278.00000000000006" w:lineRule="auto"/>
              <w:rPr/>
            </w:pPr>
            <w:r w:rsidDel="00000000" w:rsidR="00000000" w:rsidRPr="00000000">
              <w:rPr>
                <w:rtl w:val="0"/>
              </w:rPr>
              <w:t xml:space="preserve">An evaluation of training effectiveness, including survey data and participant feedback, to refine future capacity-building efforts.</w:t>
            </w:r>
          </w:p>
        </w:tc>
      </w:tr>
    </w:tbl>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pStyle w:val="Heading3"/>
        <w:rPr/>
      </w:pPr>
      <w:r w:rsidDel="00000000" w:rsidR="00000000" w:rsidRPr="00000000">
        <w:rPr>
          <w:rtl w:val="0"/>
        </w:rPr>
        <w:t xml:space="preserve">Training Workshop &amp; Materials (In-Person / Digital Event)</w:t>
      </w:r>
    </w:p>
    <w:p w:rsidR="00000000" w:rsidDel="00000000" w:rsidP="00000000" w:rsidRDefault="00000000" w:rsidRPr="00000000" w14:paraId="00000049">
      <w:pPr>
        <w:rPr/>
      </w:pPr>
      <w:r w:rsidDel="00000000" w:rsidR="00000000" w:rsidRPr="00000000">
        <w:rPr>
          <w:b w:val="1"/>
          <w:rtl w:val="0"/>
        </w:rPr>
        <w:t xml:space="preserve">Timing:</w:t>
      </w:r>
      <w:r w:rsidDel="00000000" w:rsidR="00000000" w:rsidRPr="00000000">
        <w:rPr>
          <w:rtl w:val="0"/>
        </w:rPr>
        <w:t xml:space="preserve"> Between February - June 2025 </w:t>
      </w:r>
    </w:p>
    <w:p w:rsidR="00000000" w:rsidDel="00000000" w:rsidP="00000000" w:rsidRDefault="00000000" w:rsidRPr="00000000" w14:paraId="0000004A">
      <w:pPr>
        <w:rPr/>
      </w:pPr>
      <w:r w:rsidDel="00000000" w:rsidR="00000000" w:rsidRPr="00000000">
        <w:rPr>
          <w:rtl w:val="0"/>
        </w:rPr>
        <w:t xml:space="preserve">This workshop will be designed as an interactive, practical training event focused on data input, platform usage, and QCP integration within National Qualifications Frameworks (NQFs). The event will be structured as a combination of peer learning and guided instruction, ensuring participants actively engage with the platform and gain hands-on experience.</w:t>
      </w:r>
    </w:p>
    <w:p w:rsidR="00000000" w:rsidDel="00000000" w:rsidP="00000000" w:rsidRDefault="00000000" w:rsidRPr="00000000" w14:paraId="0000004B">
      <w:pPr>
        <w:rPr>
          <w:b w:val="1"/>
        </w:rPr>
      </w:pPr>
      <w:r w:rsidDel="00000000" w:rsidR="00000000" w:rsidRPr="00000000">
        <w:rPr>
          <w:b w:val="1"/>
          <w:rtl w:val="0"/>
        </w:rPr>
        <w:t xml:space="preserve">Three options for Delivery:</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b w:val="1"/>
          <w:rtl w:val="0"/>
        </w:rPr>
        <w:t xml:space="preserve">Option 1: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On-Site Participation in the Context of an Existing ACQF Event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Format: Integrated within a pre-scheduled ACQF event where participants receive a dedicated training track.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Advantages: </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Participants benefit from existing stakeholder engagement and networking opportunities. </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Allows for knowledge-sharing within the broader ACQF framework. </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Ensures alignment with ACQF priorities and current policy discussions.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Challenges: </w:t>
      </w:r>
    </w:p>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Requires coordination with existing ACQF event planning. </w:t>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Limited capacity for deep technical training due to broader event focus.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b w:val="1"/>
          <w:rtl w:val="0"/>
        </w:rPr>
        <w:t xml:space="preserve">Option 2: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On-Site Training Co-Organised by ETF &amp; a Participating Country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Format: A standalone in-person training event held in one of the participating countries, in partnership with the European Training Foundation (ETF) and possibly co-financed by the host country or </w:t>
      </w:r>
      <w:r w:rsidDel="00000000" w:rsidR="00000000" w:rsidRPr="00000000">
        <w:rPr>
          <w:rtl w:val="0"/>
        </w:rPr>
        <w:t xml:space="preserve">as part of a non-ACQF activity related to ACQF-II</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Advantages: </w:t>
      </w:r>
    </w:p>
    <w:p w:rsidR="00000000" w:rsidDel="00000000" w:rsidP="00000000" w:rsidRDefault="00000000" w:rsidRPr="00000000" w14:paraId="000000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Allows for more focused, hands-on training and deeper peer-learning</w:t>
      </w:r>
    </w:p>
    <w:p w:rsidR="00000000" w:rsidDel="00000000" w:rsidP="00000000" w:rsidRDefault="00000000" w:rsidRPr="00000000" w14:paraId="000000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u w:val="none"/>
        </w:rPr>
      </w:pPr>
      <w:r w:rsidDel="00000000" w:rsidR="00000000" w:rsidRPr="00000000">
        <w:rPr>
          <w:rtl w:val="0"/>
        </w:rPr>
        <w:t xml:space="preserve">Better buy-in if presenting to a new audience at an already planned African event</w:t>
      </w:r>
    </w:p>
    <w:p w:rsidR="00000000" w:rsidDel="00000000" w:rsidP="00000000" w:rsidRDefault="00000000" w:rsidRPr="00000000" w14:paraId="000000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Strengthens local ownership and commitment to QCP implementation.</w:t>
      </w:r>
    </w:p>
    <w:p w:rsidR="00000000" w:rsidDel="00000000" w:rsidP="00000000" w:rsidRDefault="00000000" w:rsidRPr="00000000" w14:paraId="0000005F">
      <w:pPr>
        <w:ind w:left="708" w:firstLine="0"/>
        <w:rPr/>
      </w:pPr>
      <w:r w:rsidDel="00000000" w:rsidR="00000000" w:rsidRPr="00000000">
        <w:rPr>
          <w:rtl w:val="0"/>
        </w:rPr>
        <w:t xml:space="preserve">Challenges: </w:t>
      </w:r>
    </w:p>
    <w:p w:rsidR="00000000" w:rsidDel="00000000" w:rsidP="00000000" w:rsidRDefault="00000000" w:rsidRPr="00000000" w14:paraId="000000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1428"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Requires budget allocation &amp; logistical coordination between ETF, ACQF, and the host country. </w:t>
      </w:r>
    </w:p>
    <w:p w:rsidR="00000000" w:rsidDel="00000000" w:rsidP="00000000" w:rsidRDefault="00000000" w:rsidRPr="00000000" w14:paraId="000000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1428"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Some stakeholders may face travel constraints.</w:t>
      </w:r>
    </w:p>
    <w:p w:rsidR="00000000" w:rsidDel="00000000" w:rsidP="00000000" w:rsidRDefault="00000000" w:rsidRPr="00000000" w14:paraId="0000006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1428"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t xml:space="preserve">Potentially not reaching the correct personnel responsible for ACQF</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right="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pPr>
      <w:r w:rsidDel="00000000" w:rsidR="00000000" w:rsidRPr="00000000">
        <w:rPr>
          <w:rtl w:val="0"/>
        </w:rPr>
        <w:t xml:space="preserve">Concrete suggestion</w:t>
      </w:r>
      <w:r w:rsidDel="00000000" w:rsidR="00000000" w:rsidRPr="00000000">
        <w:rPr>
          <w:rtl w:val="0"/>
        </w:rPr>
        <w:t xml:space="preserve">: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pPr>
      <w:hyperlink r:id="rId7">
        <w:r w:rsidDel="00000000" w:rsidR="00000000" w:rsidRPr="00000000">
          <w:rPr>
            <w:color w:val="1155cc"/>
            <w:u w:val="single"/>
            <w:rtl w:val="0"/>
          </w:rPr>
          <w:t xml:space="preserve">eLearning Africa</w:t>
        </w:r>
      </w:hyperlink>
      <w:r w:rsidDel="00000000" w:rsidR="00000000" w:rsidRPr="00000000">
        <w:rPr>
          <w:rtl w:val="0"/>
        </w:rPr>
        <w:t xml:space="preserve"> (18th International Conference &amp; Exhibition on Digital Education, Training &amp; Skills Development) - 7-9 May 2025 in Tanzania</w:t>
      </w:r>
      <w:r w:rsidDel="00000000" w:rsidR="00000000" w:rsidRPr="00000000">
        <w:rPr>
          <w:rtl w:val="0"/>
        </w:rPr>
        <w:t xml:space="preserve"> → potentially organise a pre-conference workshop.</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28"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b w:val="1"/>
          <w:rtl w:val="0"/>
        </w:rPr>
        <w:t xml:space="preserve">Option 3: </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Dedicated Digital Training Event Format: A fully online, interactive training programme spread across two full days (5 hours each, including breaks). </w:t>
      </w:r>
    </w:p>
    <w:p w:rsidR="00000000" w:rsidDel="00000000" w:rsidP="00000000" w:rsidRDefault="00000000" w:rsidRPr="00000000" w14:paraId="00000068">
      <w:pPr>
        <w:ind w:left="708" w:firstLine="0"/>
        <w:rPr/>
      </w:pPr>
      <w:r w:rsidDel="00000000" w:rsidR="00000000" w:rsidRPr="00000000">
        <w:rPr>
          <w:rtl w:val="0"/>
        </w:rPr>
        <w:t xml:space="preserve">Format: </w:t>
      </w:r>
    </w:p>
    <w:p w:rsidR="00000000" w:rsidDel="00000000" w:rsidP="00000000" w:rsidRDefault="00000000" w:rsidRPr="00000000" w14:paraId="0000006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8.00000000000006" w:lineRule="auto"/>
        <w:ind w:left="1428"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 combination of self-paced learning and live sessions focusing on hands-on data input exercises, discussions, and peer-learning. </w:t>
      </w:r>
    </w:p>
    <w:p w:rsidR="00000000" w:rsidDel="00000000" w:rsidP="00000000" w:rsidRDefault="00000000" w:rsidRPr="00000000" w14:paraId="0000006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8.00000000000006" w:lineRule="auto"/>
        <w:ind w:left="1428"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Breakout rooms for practical work in small groups. </w:t>
      </w:r>
    </w:p>
    <w:p w:rsidR="00000000" w:rsidDel="00000000" w:rsidP="00000000" w:rsidRDefault="00000000" w:rsidRPr="00000000" w14:paraId="0000006B">
      <w:pPr>
        <w:ind w:left="708" w:firstLine="0"/>
        <w:rPr/>
      </w:pPr>
      <w:r w:rsidDel="00000000" w:rsidR="00000000" w:rsidRPr="00000000">
        <w:rPr>
          <w:rtl w:val="0"/>
        </w:rPr>
        <w:t xml:space="preserve">Advantages: </w:t>
      </w:r>
    </w:p>
    <w:p w:rsidR="00000000" w:rsidDel="00000000" w:rsidP="00000000" w:rsidRDefault="00000000" w:rsidRPr="00000000" w14:paraId="0000006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1428"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Ensures wide accessibility without travel requirements. </w:t>
      </w:r>
    </w:p>
    <w:p w:rsidR="00000000" w:rsidDel="00000000" w:rsidP="00000000" w:rsidRDefault="00000000" w:rsidRPr="00000000" w14:paraId="000000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1428"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Allows more flexible participation from multiple stakeholders across regions. </w:t>
      </w:r>
    </w:p>
    <w:p w:rsidR="00000000" w:rsidDel="00000000" w:rsidP="00000000" w:rsidRDefault="00000000" w:rsidRPr="00000000" w14:paraId="0000006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8.00000000000006" w:lineRule="auto"/>
        <w:ind w:left="1428"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Supports a blended learning approach, combining structured materials with live expert support. </w:t>
      </w:r>
    </w:p>
    <w:p w:rsidR="00000000" w:rsidDel="00000000" w:rsidP="00000000" w:rsidRDefault="00000000" w:rsidRPr="00000000" w14:paraId="0000006F">
      <w:pPr>
        <w:ind w:left="708" w:firstLine="0"/>
        <w:rPr/>
      </w:pPr>
      <w:r w:rsidDel="00000000" w:rsidR="00000000" w:rsidRPr="00000000">
        <w:rPr>
          <w:rtl w:val="0"/>
        </w:rPr>
        <w:t xml:space="preserve">Challenges: </w:t>
      </w:r>
    </w:p>
    <w:p w:rsidR="00000000" w:rsidDel="00000000" w:rsidP="00000000" w:rsidRDefault="00000000" w:rsidRPr="00000000" w14:paraId="0000007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8.00000000000006" w:lineRule="auto"/>
        <w:ind w:left="1428"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Requires strong digital engagement strategies to maintain participant focus. </w:t>
      </w:r>
    </w:p>
    <w:p w:rsidR="00000000" w:rsidDel="00000000" w:rsidP="00000000" w:rsidRDefault="00000000" w:rsidRPr="00000000" w14:paraId="0000007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8.00000000000006" w:lineRule="auto"/>
        <w:ind w:left="1428"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Less personal and thus more challenging for peer-learning</w:t>
      </w:r>
    </w:p>
    <w:p w:rsidR="00000000" w:rsidDel="00000000" w:rsidP="00000000" w:rsidRDefault="00000000" w:rsidRPr="00000000" w14:paraId="0000007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78.00000000000006" w:lineRule="auto"/>
        <w:ind w:left="1428"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Internet connectivity issues may limit engagement in some countries.</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pStyle w:val="Heading3"/>
        <w:rPr/>
      </w:pPr>
      <w:r w:rsidDel="00000000" w:rsidR="00000000" w:rsidRPr="00000000">
        <w:rPr>
          <w:rtl w:val="0"/>
        </w:rPr>
        <w:t xml:space="preserve">National Stakeholder Implementation Labs </w:t>
      </w: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Timing: Between February - May 2025 </w:t>
      </w:r>
    </w:p>
    <w:p w:rsidR="00000000" w:rsidDel="00000000" w:rsidP="00000000" w:rsidRDefault="00000000" w:rsidRPr="00000000" w14:paraId="00000076">
      <w:pPr>
        <w:rPr/>
      </w:pPr>
      <w:r w:rsidDel="00000000" w:rsidR="00000000" w:rsidRPr="00000000">
        <w:rPr>
          <w:rtl w:val="0"/>
        </w:rPr>
        <w:t xml:space="preserve">Objective: Provide country-specific, interactive support for QCP implementation through real-time problem-solving and expert guidance.</w:t>
      </w:r>
    </w:p>
    <w:p w:rsidR="00000000" w:rsidDel="00000000" w:rsidP="00000000" w:rsidRDefault="00000000" w:rsidRPr="00000000" w14:paraId="00000077">
      <w:pPr>
        <w:rPr/>
      </w:pPr>
      <w:r w:rsidDel="00000000" w:rsidR="00000000" w:rsidRPr="00000000">
        <w:rPr>
          <w:rtl w:val="0"/>
        </w:rPr>
        <w:t xml:space="preserve">Format: Up to 6 digital Stakeholder Implementation Labs (1.5–2 hours each). </w:t>
      </w:r>
    </w:p>
    <w:p w:rsidR="00000000" w:rsidDel="00000000" w:rsidP="00000000" w:rsidRDefault="00000000" w:rsidRPr="00000000" w14:paraId="00000078">
      <w:pPr>
        <w:rPr/>
      </w:pPr>
      <w:r w:rsidDel="00000000" w:rsidR="00000000" w:rsidRPr="00000000">
        <w:rPr>
          <w:rtl w:val="0"/>
        </w:rPr>
        <w:t xml:space="preserve">Content Focus: </w:t>
      </w:r>
    </w:p>
    <w:p w:rsidR="00000000" w:rsidDel="00000000" w:rsidP="00000000" w:rsidRDefault="00000000" w:rsidRPr="00000000" w14:paraId="0000007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Addressing common data input challenges. </w:t>
      </w:r>
    </w:p>
    <w:p w:rsidR="00000000" w:rsidDel="00000000" w:rsidP="00000000" w:rsidRDefault="00000000" w:rsidRPr="00000000" w14:paraId="0000007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Providing technical guidance on QCP functionalities. </w:t>
      </w:r>
    </w:p>
    <w:p w:rsidR="00000000" w:rsidDel="00000000" w:rsidP="00000000" w:rsidRDefault="00000000" w:rsidRPr="00000000" w14:paraId="0000007B">
      <w:pPr>
        <w:rPr/>
      </w:pPr>
      <w:r w:rsidDel="00000000" w:rsidR="00000000" w:rsidRPr="00000000">
        <w:rPr>
          <w:rtl w:val="0"/>
        </w:rPr>
        <w:t xml:space="preserve">Methodology: </w:t>
      </w:r>
    </w:p>
    <w:p w:rsidR="00000000" w:rsidDel="00000000" w:rsidP="00000000" w:rsidRDefault="00000000" w:rsidRPr="00000000" w14:paraId="0000007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Country representatives submit questions in advance for structured responses.</w:t>
      </w:r>
    </w:p>
    <w:p w:rsidR="00000000" w:rsidDel="00000000" w:rsidP="00000000" w:rsidRDefault="00000000" w:rsidRPr="00000000" w14:paraId="0000007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Live interaction with experts and QCP developers.</w:t>
      </w:r>
    </w:p>
    <w:p w:rsidR="00000000" w:rsidDel="00000000" w:rsidP="00000000" w:rsidRDefault="00000000" w:rsidRPr="00000000" w14:paraId="0000007E">
      <w:pPr>
        <w:pStyle w:val="Heading3"/>
        <w:rPr/>
      </w:pPr>
      <w:r w:rsidDel="00000000" w:rsidR="00000000" w:rsidRPr="00000000">
        <w:rPr>
          <w:rtl w:val="0"/>
        </w:rPr>
        <w:t xml:space="preserve">eLearning Modules &amp; Video Support </w:t>
      </w:r>
    </w:p>
    <w:p w:rsidR="00000000" w:rsidDel="00000000" w:rsidP="00000000" w:rsidRDefault="00000000" w:rsidRPr="00000000" w14:paraId="0000007F">
      <w:pPr>
        <w:rPr/>
      </w:pPr>
      <w:r w:rsidDel="00000000" w:rsidR="00000000" w:rsidRPr="00000000">
        <w:rPr>
          <w:rtl w:val="0"/>
        </w:rPr>
        <w:t xml:space="preserve">Timing: June 2025 (with earlier pilot modules possibly launched in Q2 2025) </w:t>
      </w:r>
    </w:p>
    <w:p w:rsidR="00000000" w:rsidDel="00000000" w:rsidP="00000000" w:rsidRDefault="00000000" w:rsidRPr="00000000" w14:paraId="00000080">
      <w:pPr>
        <w:rPr/>
      </w:pPr>
      <w:r w:rsidDel="00000000" w:rsidR="00000000" w:rsidRPr="00000000">
        <w:rPr>
          <w:rtl w:val="0"/>
        </w:rPr>
        <w:t xml:space="preserve">This eLearning course will be hosted on the </w:t>
      </w:r>
      <w:r w:rsidDel="00000000" w:rsidR="00000000" w:rsidRPr="00000000">
        <w:rPr>
          <w:b w:val="1"/>
          <w:rtl w:val="0"/>
        </w:rPr>
        <w:t xml:space="preserve">EUAcademy platform</w:t>
      </w:r>
      <w:r w:rsidDel="00000000" w:rsidR="00000000" w:rsidRPr="00000000">
        <w:rPr>
          <w:rtl w:val="0"/>
        </w:rPr>
        <w:t xml:space="preserve">, ensuring broad accessibility and integration with other EU-led capacity development initiatives. The course will be offered in three languages: English, French and Portuguese.</w:t>
      </w:r>
    </w:p>
    <w:p w:rsidR="00000000" w:rsidDel="00000000" w:rsidP="00000000" w:rsidRDefault="00000000" w:rsidRPr="00000000" w14:paraId="00000081">
      <w:pPr>
        <w:rPr/>
      </w:pPr>
      <w:r w:rsidDel="00000000" w:rsidR="00000000" w:rsidRPr="00000000">
        <w:rPr>
          <w:rtl w:val="0"/>
        </w:rPr>
        <w:t xml:space="preserve">Key Features: </w:t>
      </w:r>
    </w:p>
    <w:p w:rsidR="00000000" w:rsidDel="00000000" w:rsidP="00000000" w:rsidRDefault="00000000" w:rsidRPr="00000000" w14:paraId="0000008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Short, Focused Video Modules (up to 6 videos) Each 2-5 minutes long, covering specific QCP functionalities. </w:t>
      </w: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Topics include: </w:t>
      </w:r>
    </w:p>
    <w:p w:rsidR="00000000" w:rsidDel="00000000" w:rsidP="00000000" w:rsidRDefault="00000000" w:rsidRPr="00000000" w14:paraId="0000008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Navigating the QCP Interface. </w:t>
      </w:r>
    </w:p>
    <w:p w:rsidR="00000000" w:rsidDel="00000000" w:rsidP="00000000" w:rsidRDefault="00000000" w:rsidRPr="00000000" w14:paraId="0000008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Uploading &amp; Managing Data. </w:t>
      </w:r>
    </w:p>
    <w:p w:rsidR="00000000" w:rsidDel="00000000" w:rsidP="00000000" w:rsidRDefault="00000000" w:rsidRPr="00000000" w14:paraId="0000008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Ensuring Data Accuracy &amp; Compliance. </w:t>
      </w:r>
    </w:p>
    <w:p w:rsidR="00000000" w:rsidDel="00000000" w:rsidP="00000000" w:rsidRDefault="00000000" w:rsidRPr="00000000" w14:paraId="0000008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Using QCP for Qualifications Recognition. I</w:t>
      </w:r>
    </w:p>
    <w:p w:rsidR="00000000" w:rsidDel="00000000" w:rsidP="00000000" w:rsidRDefault="00000000" w:rsidRPr="00000000" w14:paraId="00000088">
      <w:pPr>
        <w:rPr/>
      </w:pPr>
      <w:r w:rsidDel="00000000" w:rsidR="00000000" w:rsidRPr="00000000">
        <w:rPr>
          <w:rtl w:val="0"/>
        </w:rPr>
        <w:t xml:space="preserve">Interactive Learning Materials </w:t>
      </w:r>
    </w:p>
    <w:p w:rsidR="00000000" w:rsidDel="00000000" w:rsidP="00000000" w:rsidRDefault="00000000" w:rsidRPr="00000000" w14:paraId="0000008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Step-by-step worksheets to guide users through platform usage. </w:t>
      </w:r>
    </w:p>
    <w:p w:rsidR="00000000" w:rsidDel="00000000" w:rsidP="00000000" w:rsidRDefault="00000000" w:rsidRPr="00000000" w14:paraId="0000008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Scenario-based exercises for hands-on engagement. </w:t>
      </w:r>
    </w:p>
    <w:p w:rsidR="00000000" w:rsidDel="00000000" w:rsidP="00000000" w:rsidRDefault="00000000" w:rsidRPr="00000000" w14:paraId="0000008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Self-assessment quizzes to reinforce learning. </w:t>
      </w:r>
    </w:p>
    <w:p w:rsidR="00000000" w:rsidDel="00000000" w:rsidP="00000000" w:rsidRDefault="00000000" w:rsidRPr="00000000" w14:paraId="0000008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Self-Paced Learning Available 24/7 for participants to complete at their convenience. </w:t>
      </w:r>
    </w:p>
    <w:p w:rsidR="00000000" w:rsidDel="00000000" w:rsidP="00000000" w:rsidRDefault="00000000" w:rsidRPr="00000000" w14:paraId="0000008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Ensures continuous access to training resources beyond live events.</w:t>
      </w:r>
    </w:p>
    <w:p w:rsidR="00000000" w:rsidDel="00000000" w:rsidP="00000000" w:rsidRDefault="00000000" w:rsidRPr="00000000" w14:paraId="0000008E">
      <w:pPr>
        <w:pStyle w:val="Heading3"/>
        <w:rPr/>
      </w:pPr>
      <w:r w:rsidDel="00000000" w:rsidR="00000000" w:rsidRPr="00000000">
        <w:rPr>
          <w:rtl w:val="0"/>
        </w:rPr>
        <w:t xml:space="preserve">Learner Feedback &amp; Analysis Report </w:t>
      </w:r>
    </w:p>
    <w:p w:rsidR="00000000" w:rsidDel="00000000" w:rsidP="00000000" w:rsidRDefault="00000000" w:rsidRPr="00000000" w14:paraId="0000008F">
      <w:pPr>
        <w:rPr/>
      </w:pPr>
      <w:r w:rsidDel="00000000" w:rsidR="00000000" w:rsidRPr="00000000">
        <w:rPr>
          <w:rtl w:val="0"/>
        </w:rPr>
        <w:t xml:space="preserve">Timing: 30 June 2025 (data collection throughout Q1-Q2 2025)</w:t>
      </w:r>
    </w:p>
    <w:p w:rsidR="00000000" w:rsidDel="00000000" w:rsidP="00000000" w:rsidRDefault="00000000" w:rsidRPr="00000000" w14:paraId="00000090">
      <w:pPr>
        <w:rPr/>
      </w:pPr>
      <w:r w:rsidDel="00000000" w:rsidR="00000000" w:rsidRPr="00000000">
        <w:rPr>
          <w:rtl w:val="0"/>
        </w:rPr>
        <w:t xml:space="preserve">A comprehensive feedback analysis will be conducted to assess the impact and effectiveness of the training activities. </w:t>
      </w:r>
    </w:p>
    <w:p w:rsidR="00000000" w:rsidDel="00000000" w:rsidP="00000000" w:rsidRDefault="00000000" w:rsidRPr="00000000" w14:paraId="00000091">
      <w:pPr>
        <w:rPr>
          <w:b w:val="1"/>
        </w:rPr>
      </w:pPr>
      <w:r w:rsidDel="00000000" w:rsidR="00000000" w:rsidRPr="00000000">
        <w:rPr>
          <w:b w:val="1"/>
          <w:rtl w:val="0"/>
        </w:rPr>
        <w:t xml:space="preserve">Three Key Evaluation Components: </w:t>
      </w:r>
    </w:p>
    <w:p w:rsidR="00000000" w:rsidDel="00000000" w:rsidP="00000000" w:rsidRDefault="00000000" w:rsidRPr="00000000" w14:paraId="0000009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Usage Analysis of eLearning Course</w:t>
      </w:r>
    </w:p>
    <w:p w:rsidR="00000000" w:rsidDel="00000000" w:rsidP="00000000" w:rsidRDefault="00000000" w:rsidRPr="00000000" w14:paraId="0000009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8.00000000000006" w:lineRule="auto"/>
        <w:ind w:left="1068"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Tracking participant engagement (course completion rates, time spent, interaction levels).</w:t>
      </w:r>
    </w:p>
    <w:p w:rsidR="00000000" w:rsidDel="00000000" w:rsidP="00000000" w:rsidRDefault="00000000" w:rsidRPr="00000000" w14:paraId="0000009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8.00000000000006" w:lineRule="auto"/>
        <w:ind w:left="1068"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Identifying which modules were most beneficial and where improvements are needed.</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Survey on the In-Person Training Event </w:t>
      </w:r>
    </w:p>
    <w:p w:rsidR="00000000" w:rsidDel="00000000" w:rsidP="00000000" w:rsidRDefault="00000000" w:rsidRPr="00000000" w14:paraId="0000009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Collecting participant feedback on: Content relevance &amp; quality; Effectiveness of peer-learning &amp; guided instruction; Applicability of skills learned.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Survey on Overall Satisfaction with Training (June 2025) </w:t>
      </w:r>
    </w:p>
    <w:p w:rsidR="00000000" w:rsidDel="00000000" w:rsidP="00000000" w:rsidRDefault="00000000" w:rsidRPr="00000000" w14:paraId="0000009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 comprehensive assessment of training activities conducted since 2024 aiming to provide recommendations and guidance for future capacity-building efforts. </w:t>
      </w:r>
    </w:p>
    <w:p w:rsidR="00000000" w:rsidDel="00000000" w:rsidP="00000000" w:rsidRDefault="00000000" w:rsidRPr="00000000" w14:paraId="0000009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Measuring: Knowledge improvement and confidence in using QCP. </w:t>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2160" w:hanging="180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8">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9">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10">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7">
    <w:lvl w:ilvl="0">
      <w:start w:val="1"/>
      <w:numFmt w:val="bullet"/>
      <w:lvlText w:val="●"/>
      <w:lvlJc w:val="left"/>
      <w:pPr>
        <w:ind w:left="1068" w:hanging="360"/>
      </w:pPr>
      <w:rPr>
        <w:rFonts w:ascii="Noto Sans Symbols" w:cs="Noto Sans Symbols" w:eastAsia="Noto Sans Symbols" w:hAnsi="Noto Sans Symbols"/>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98612E"/>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unhideWhenUsed w:val="1"/>
    <w:qFormat w:val="1"/>
    <w:rsid w:val="0098612E"/>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unhideWhenUsed w:val="1"/>
    <w:qFormat w:val="1"/>
    <w:rsid w:val="0098612E"/>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98612E"/>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98612E"/>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98612E"/>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98612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8612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8612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8612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98612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98612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8612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8612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8612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8612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8612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8612E"/>
    <w:rPr>
      <w:rFonts w:cstheme="majorBidi" w:eastAsiaTheme="majorEastAsia"/>
      <w:color w:val="272727" w:themeColor="text1" w:themeTint="0000D8"/>
    </w:rPr>
  </w:style>
  <w:style w:type="paragraph" w:styleId="Title">
    <w:name w:val="Title"/>
    <w:basedOn w:val="Normal"/>
    <w:next w:val="Normal"/>
    <w:link w:val="TitleChar"/>
    <w:uiPriority w:val="10"/>
    <w:qFormat w:val="1"/>
    <w:rsid w:val="0098612E"/>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98612E"/>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98612E"/>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98612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8612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8612E"/>
    <w:rPr>
      <w:i w:val="1"/>
      <w:iCs w:val="1"/>
      <w:color w:val="404040" w:themeColor="text1" w:themeTint="0000BF"/>
    </w:rPr>
  </w:style>
  <w:style w:type="paragraph" w:styleId="ListParagraph">
    <w:name w:val="List Paragraph"/>
    <w:basedOn w:val="Normal"/>
    <w:uiPriority w:val="34"/>
    <w:qFormat w:val="1"/>
    <w:rsid w:val="0098612E"/>
    <w:pPr>
      <w:ind w:left="720"/>
      <w:contextualSpacing w:val="1"/>
    </w:pPr>
  </w:style>
  <w:style w:type="character" w:styleId="IntenseEmphasis">
    <w:name w:val="Intense Emphasis"/>
    <w:basedOn w:val="DefaultParagraphFont"/>
    <w:uiPriority w:val="21"/>
    <w:qFormat w:val="1"/>
    <w:rsid w:val="0098612E"/>
    <w:rPr>
      <w:i w:val="1"/>
      <w:iCs w:val="1"/>
      <w:color w:val="0f4761" w:themeColor="accent1" w:themeShade="0000BF"/>
    </w:rPr>
  </w:style>
  <w:style w:type="paragraph" w:styleId="IntenseQuote">
    <w:name w:val="Intense Quote"/>
    <w:basedOn w:val="Normal"/>
    <w:next w:val="Normal"/>
    <w:link w:val="IntenseQuoteChar"/>
    <w:uiPriority w:val="30"/>
    <w:qFormat w:val="1"/>
    <w:rsid w:val="0098612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8612E"/>
    <w:rPr>
      <w:i w:val="1"/>
      <w:iCs w:val="1"/>
      <w:color w:val="0f4761" w:themeColor="accent1" w:themeShade="0000BF"/>
    </w:rPr>
  </w:style>
  <w:style w:type="character" w:styleId="IntenseReference">
    <w:name w:val="Intense Reference"/>
    <w:basedOn w:val="DefaultParagraphFont"/>
    <w:uiPriority w:val="32"/>
    <w:qFormat w:val="1"/>
    <w:rsid w:val="0098612E"/>
    <w:rPr>
      <w:b w:val="1"/>
      <w:bCs w:val="1"/>
      <w:smallCaps w:val="1"/>
      <w:color w:val="0f4761" w:themeColor="accent1" w:themeShade="0000BF"/>
      <w:spacing w:val="5"/>
    </w:rPr>
  </w:style>
  <w:style w:type="table" w:styleId="GridTable4-Accent3">
    <w:name w:val="Grid Table 4 Accent 3"/>
    <w:basedOn w:val="TableNormal"/>
    <w:uiPriority w:val="49"/>
    <w:rsid w:val="00986259"/>
    <w:pPr>
      <w:spacing w:after="0" w:line="240" w:lineRule="auto"/>
    </w:pPr>
    <w:tblPr>
      <w:tblStyleRowBandSize w:val="1"/>
      <w:tblStyleColBandSize w:val="1"/>
      <w:tblBorders>
        <w:top w:color="47d459" w:space="0" w:sz="4" w:themeColor="accent3" w:themeTint="000099" w:val="single"/>
        <w:left w:color="47d459" w:space="0" w:sz="4" w:themeColor="accent3" w:themeTint="000099" w:val="single"/>
        <w:bottom w:color="47d459" w:space="0" w:sz="4" w:themeColor="accent3" w:themeTint="000099" w:val="single"/>
        <w:right w:color="47d459" w:space="0" w:sz="4" w:themeColor="accent3" w:themeTint="000099" w:val="single"/>
        <w:insideH w:color="47d459" w:space="0" w:sz="4" w:themeColor="accent3" w:themeTint="000099" w:val="single"/>
        <w:insideV w:color="47d459" w:space="0" w:sz="4" w:themeColor="accent3" w:themeTint="000099" w:val="single"/>
      </w:tblBorders>
    </w:tblPr>
    <w:tblStylePr w:type="firstRow">
      <w:rPr>
        <w:b w:val="1"/>
        <w:bCs w:val="1"/>
        <w:color w:val="ffffff" w:themeColor="background1"/>
      </w:rPr>
      <w:tblPr/>
      <w:tcPr>
        <w:tcBorders>
          <w:top w:color="196b24" w:space="0" w:sz="4" w:themeColor="accent3" w:val="single"/>
          <w:left w:color="196b24" w:space="0" w:sz="4" w:themeColor="accent3" w:val="single"/>
          <w:bottom w:color="196b24" w:space="0" w:sz="4" w:themeColor="accent3" w:val="single"/>
          <w:right w:color="196b24" w:space="0" w:sz="4" w:themeColor="accent3" w:val="single"/>
          <w:insideH w:space="0" w:sz="0" w:val="nil"/>
          <w:insideV w:space="0" w:sz="0" w:val="nil"/>
        </w:tcBorders>
        <w:shd w:color="auto" w:fill="196b24" w:themeFill="accent3" w:val="clear"/>
      </w:tcPr>
    </w:tblStylePr>
    <w:tblStylePr w:type="lastRow">
      <w:rPr>
        <w:b w:val="1"/>
        <w:bCs w:val="1"/>
      </w:rPr>
      <w:tblPr/>
      <w:tcPr>
        <w:tcBorders>
          <w:top w:color="196b24" w:space="0" w:sz="4" w:themeColor="accent3" w:val="double"/>
        </w:tcBorders>
      </w:tcPr>
    </w:tblStylePr>
    <w:tblStylePr w:type="firstCol">
      <w:rPr>
        <w:b w:val="1"/>
        <w:bCs w:val="1"/>
      </w:rPr>
    </w:tblStylePr>
    <w:tblStylePr w:type="lastCol">
      <w:rPr>
        <w:b w:val="1"/>
        <w:bCs w:val="1"/>
      </w:rPr>
    </w:tblStylePr>
    <w:tblStylePr w:type="band1Vert">
      <w:tblPr/>
      <w:tcPr>
        <w:shd w:color="auto" w:fill="c1f0c7" w:themeFill="accent3" w:themeFillTint="000033" w:val="clear"/>
      </w:tcPr>
    </w:tblStylePr>
    <w:tblStylePr w:type="band1Horz">
      <w:tblPr/>
      <w:tcPr>
        <w:shd w:color="auto" w:fill="c1f0c7" w:themeFill="accent3" w:themeFillTint="000033" w:val="clear"/>
      </w:tcPr>
    </w:tblStylePr>
  </w:style>
  <w:style w:type="paragraph" w:styleId="NormalWeb">
    <w:name w:val="Normal (Web)"/>
    <w:basedOn w:val="Normal"/>
    <w:uiPriority w:val="99"/>
    <w:semiHidden w:val="1"/>
    <w:unhideWhenUsed w:val="1"/>
    <w:rsid w:val="007E3297"/>
    <w:rPr>
      <w:rFonts w:ascii="Times New Roman" w:cs="Times New Roman" w:hAnsi="Times New Roman"/>
    </w:rPr>
  </w:style>
  <w:style w:type="table" w:styleId="GridTable4-Accent6">
    <w:name w:val="Grid Table 4 Accent 6"/>
    <w:basedOn w:val="TableNormal"/>
    <w:uiPriority w:val="49"/>
    <w:rsid w:val="007E3297"/>
    <w:pPr>
      <w:spacing w:after="0" w:line="240" w:lineRule="auto"/>
    </w:pPr>
    <w:tblPr>
      <w:tblStyleRowBandSize w:val="1"/>
      <w:tblStyleColBandSize w:val="1"/>
      <w:tblBorders>
        <w:top w:color="8dd873" w:space="0" w:sz="4" w:themeColor="accent6" w:themeTint="000099" w:val="single"/>
        <w:left w:color="8dd873" w:space="0" w:sz="4" w:themeColor="accent6" w:themeTint="000099" w:val="single"/>
        <w:bottom w:color="8dd873" w:space="0" w:sz="4" w:themeColor="accent6" w:themeTint="000099" w:val="single"/>
        <w:right w:color="8dd873" w:space="0" w:sz="4" w:themeColor="accent6" w:themeTint="000099" w:val="single"/>
        <w:insideH w:color="8dd873" w:space="0" w:sz="4" w:themeColor="accent6" w:themeTint="000099" w:val="single"/>
        <w:insideV w:color="8dd873" w:space="0" w:sz="4" w:themeColor="accent6" w:themeTint="000099" w:val="single"/>
      </w:tblBorders>
    </w:tblPr>
    <w:tblStylePr w:type="firstRow">
      <w:rPr>
        <w:b w:val="1"/>
        <w:bCs w:val="1"/>
        <w:color w:val="ffffff" w:themeColor="background1"/>
      </w:rPr>
      <w:tblPr/>
      <w:tcPr>
        <w:tcBorders>
          <w:top w:color="4ea72e" w:space="0" w:sz="4" w:themeColor="accent6" w:val="single"/>
          <w:left w:color="4ea72e" w:space="0" w:sz="4" w:themeColor="accent6" w:val="single"/>
          <w:bottom w:color="4ea72e" w:space="0" w:sz="4" w:themeColor="accent6" w:val="single"/>
          <w:right w:color="4ea72e" w:space="0" w:sz="4" w:themeColor="accent6" w:val="single"/>
          <w:insideH w:space="0" w:sz="0" w:val="nil"/>
          <w:insideV w:space="0" w:sz="0" w:val="nil"/>
        </w:tcBorders>
        <w:shd w:color="auto" w:fill="4ea72e" w:themeFill="accent6" w:val="clear"/>
      </w:tcPr>
    </w:tblStylePr>
    <w:tblStylePr w:type="lastRow">
      <w:rPr>
        <w:b w:val="1"/>
        <w:bCs w:val="1"/>
      </w:rPr>
      <w:tblPr/>
      <w:tcPr>
        <w:tcBorders>
          <w:top w:color="4ea72e" w:space="0" w:sz="4" w:themeColor="accent6" w:val="double"/>
        </w:tcBorders>
      </w:tcPr>
    </w:tblStylePr>
    <w:tblStylePr w:type="firstCol">
      <w:rPr>
        <w:b w:val="1"/>
        <w:bCs w:val="1"/>
      </w:rPr>
    </w:tblStylePr>
    <w:tblStylePr w:type="lastCol">
      <w:rPr>
        <w:b w:val="1"/>
        <w:bCs w:val="1"/>
      </w:rPr>
    </w:tblStylePr>
    <w:tblStylePr w:type="band1Vert">
      <w:tblPr/>
      <w:tcPr>
        <w:shd w:color="auto" w:fill="d9f2d0" w:themeFill="accent6" w:themeFillTint="000033" w:val="clear"/>
      </w:tcPr>
    </w:tblStylePr>
    <w:tblStylePr w:type="band1Horz">
      <w:tblPr/>
      <w:tcPr>
        <w:shd w:color="auto" w:fill="d9f2d0" w:themeFill="accent6" w:themeFillTint="000033" w:val="clear"/>
      </w:tcPr>
    </w:tblStyle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c1f0c8" w:val="clear"/>
      </w:tcPr>
    </w:tblStylePr>
    <w:tblStylePr w:type="band1Vert">
      <w:tcPr>
        <w:shd w:fill="c1f0c8" w:val="clear"/>
      </w:tcPr>
    </w:tblStylePr>
    <w:tblStylePr w:type="firstCol">
      <w:rPr>
        <w:b w:val="1"/>
      </w:rPr>
    </w:tblStylePr>
    <w:tblStylePr w:type="firstRow">
      <w:rPr>
        <w:b w:val="1"/>
        <w:color w:val="ffffff"/>
      </w:rPr>
      <w:tcPr>
        <w:tcBorders>
          <w:top w:color="196b24" w:space="0" w:sz="4" w:val="single"/>
          <w:left w:color="196b24" w:space="0" w:sz="4" w:val="single"/>
          <w:bottom w:color="196b24" w:space="0" w:sz="4" w:val="single"/>
          <w:right w:color="196b24" w:space="0" w:sz="4" w:val="single"/>
          <w:insideH w:color="000000" w:space="0" w:sz="0" w:val="nil"/>
          <w:insideV w:color="000000" w:space="0" w:sz="0" w:val="nil"/>
        </w:tcBorders>
        <w:shd w:fill="196b24" w:val="clear"/>
      </w:tcPr>
    </w:tblStylePr>
    <w:tblStylePr w:type="lastCol">
      <w:rPr>
        <w:b w:val="1"/>
      </w:rPr>
    </w:tblStylePr>
    <w:tblStylePr w:type="lastRow">
      <w:rPr>
        <w:b w:val="1"/>
      </w:rPr>
      <w:tcPr>
        <w:tcBorders>
          <w:top w:color="196b24" w:space="0" w:sz="4"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9f2d0" w:val="clear"/>
      </w:tcPr>
    </w:tblStylePr>
    <w:tblStylePr w:type="band1Vert">
      <w:tcPr>
        <w:shd w:fill="d9f2d0" w:val="clear"/>
      </w:tcPr>
    </w:tblStylePr>
    <w:tblStylePr w:type="firstCol">
      <w:rPr>
        <w:b w:val="1"/>
      </w:rPr>
    </w:tblStylePr>
    <w:tblStylePr w:type="firstRow">
      <w:rPr>
        <w:b w:val="1"/>
        <w:color w:val="ffffff"/>
      </w:rPr>
      <w:tcPr>
        <w:tcBorders>
          <w:top w:color="4ea72e" w:space="0" w:sz="4" w:val="single"/>
          <w:left w:color="4ea72e" w:space="0" w:sz="4" w:val="single"/>
          <w:bottom w:color="4ea72e" w:space="0" w:sz="4" w:val="single"/>
          <w:right w:color="4ea72e" w:space="0" w:sz="4" w:val="single"/>
          <w:insideH w:color="000000" w:space="0" w:sz="0" w:val="nil"/>
          <w:insideV w:color="000000" w:space="0" w:sz="0" w:val="nil"/>
        </w:tcBorders>
        <w:shd w:fill="4ea72e" w:val="clear"/>
      </w:tcPr>
    </w:tblStylePr>
    <w:tblStylePr w:type="lastCol">
      <w:rPr>
        <w:b w:val="1"/>
      </w:rPr>
    </w:tblStylePr>
    <w:tblStylePr w:type="lastRow">
      <w:rPr>
        <w:b w:val="1"/>
      </w:rPr>
      <w:tcPr>
        <w:tcBorders>
          <w:top w:color="4ea72e"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elearning-africa.com/conference202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pHMqs68ko6FbvDmrXE/9D0RgiA==">CgMxLjA4AHIhMVlHTUpONjh3NlY0NEl1WFdzbmVVck96aHpKMFZCSE9k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2025-01-28T23:12:00Z</dcterms:created>
  <dc:creator>Stefan Jahnke</dc:creator>
</cp:coreProperties>
</file>